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Гарантии изготовителя</w:t>
      </w:r>
      <w:bookmarkStart w:id="0" w:name="_GoBack"/>
      <w:bookmarkEnd w:id="0"/>
    </w:p>
    <w:p w:rsidR="00205267" w:rsidRPr="00205267" w:rsidRDefault="00205267" w:rsidP="00205267">
      <w:pPr>
        <w:numPr>
          <w:ilvl w:val="0"/>
          <w:numId w:val="2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Предприятие-изготовитель гарантирует соответствие лесов требованиям настоящих технических условий при соблюдении потребителем условий эксплуатации, транспортирования и хранения.</w:t>
      </w:r>
    </w:p>
    <w:p w:rsidR="00205267" w:rsidRPr="00205267" w:rsidRDefault="00205267" w:rsidP="00205267">
      <w:pPr>
        <w:numPr>
          <w:ilvl w:val="0"/>
          <w:numId w:val="2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Срок гарантии устанавливается 12 месяцев со дня поступления потребителю.</w:t>
      </w:r>
    </w:p>
    <w:p w:rsidR="00205267" w:rsidRDefault="00205267"/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Транспортирование и хранение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Транспортирование лесов может производиться транспортом любого вида в соответствии с действующими для данного вида транспорта правилами перевозки грузов.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Перед транспортированием элементы лесов должны быть рассортированы по видам (поперечина, стойка, связь и т.д.) и связаны в пакеты проволокой диаметром не менее 4 мм в две нитки со скруткой не менее 2-х витков, а мелкие детали должны быть упакованы в ящики.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Не допускается сбрасывать элементы с транспортных средств при разгрузке.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Хранение лесов должно осуществляться по группе хранения ОЖ4.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длительном хранении элементы лесов должны быть уложены на подкладки, исключающие соприкосновение их с грунтом.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Металлические поверхности лесов, не имеющие лакокрасочных покрытий, при длительном хранении должны подвергаться консервации солидолом С или другой равноценной смазкой.</w:t>
      </w:r>
    </w:p>
    <w:p w:rsidR="00205267" w:rsidRPr="00205267" w:rsidRDefault="00205267" w:rsidP="00205267">
      <w:pPr>
        <w:numPr>
          <w:ilvl w:val="0"/>
          <w:numId w:val="3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транспортировке и хранении пакеты и ящики с элементами лесов могут быть уложены друг на друга не более, чем в три яруса.</w:t>
      </w:r>
    </w:p>
    <w:p w:rsidR="00205267" w:rsidRDefault="00205267"/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Указание мер безопасности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Леса должны быть надежно закреплены к стене по всей высоте. Произвольное снятие крепления лесов к стене не допускается.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Настил лесов должен иметь ровную поверхность.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Подъем людей на леса и спуск с них должен производиться только по лестницам.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лесах должны быть вывешены плакаты со схемами перемещения людей, размещения грузов и величин допускаемых нагрузок.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Подача на леса груза, превышающего допустимый проектом, запрещена.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Во избежание повреждений стоек, расположенных у проездов, необходима установка защитных устройств.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Линии электропередач, расположенные ближе 5 м от лесов необходимо снять или заключить в деревянные короба.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Леса должны быть надежно заземлены и оборудованы грозозащитным устройством.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монтаже и демонтаже лесов доступ людей в зону ведения работ, не занятых на этих работах, запрещен.</w:t>
      </w:r>
    </w:p>
    <w:p w:rsidR="00205267" w:rsidRPr="00205267" w:rsidRDefault="00205267" w:rsidP="00205267">
      <w:pPr>
        <w:numPr>
          <w:ilvl w:val="0"/>
          <w:numId w:val="4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Кроме требований мер безопасности настоящего паспорта необходимо также выполнять требования СНиП III- 4 — 80 «Техника безопасности в строительстве».</w:t>
      </w:r>
    </w:p>
    <w:p w:rsidR="00205267" w:rsidRDefault="00205267"/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Эксплуатация лесов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1. Металлические трубчатые леса допускаются в эксплуатацию только после окончания их монтажа, но не ранее сдачи их по акту лицу, назначенному для приемки главным инженером строительства с участием работника по технике безопасности.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2. При приемке установленных лесов в эксплуатацию проверяются: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соответствие собранного каркаса монтажным схемам и правильность сборки узлов;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правильность и надежность крепления лесов к стене;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правильность и надежность </w:t>
      </w:r>
      <w:proofErr w:type="spellStart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опирания</w:t>
      </w:r>
      <w:proofErr w:type="spellEnd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лесов на основание;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наличие и надежность ограждений на лесах;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правильность установки </w:t>
      </w:r>
      <w:proofErr w:type="spellStart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молниеприемников</w:t>
      </w:r>
      <w:proofErr w:type="spellEnd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и заземления лесов;</w:t>
      </w:r>
    </w:p>
    <w:p w:rsidR="00205267" w:rsidRPr="00205267" w:rsidRDefault="00205267" w:rsidP="00205267">
      <w:pPr>
        <w:numPr>
          <w:ilvl w:val="0"/>
          <w:numId w:val="5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обеспечение отвода воды от лесов.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Особое внимание следует обратить на вертикальность стоек и надежность крепления лесов к стене.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3. Состояние лесов должно ежедневно перед началом смены проверятся производителем работ или мастером, руководящим работами.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4. Настилы и лестницы лесов следует систематически очищать от мусора, остатков материалов, снега, наледи, а зимой посыпать песком.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5. Нагрузки на настилы лесов в процессе их эксплуатации не должны превышать пределов, указанных на схеме нагрузок (см. приложение).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случае необходимости увеличения или изменения расположения нагрузок:</w:t>
      </w:r>
    </w:p>
    <w:p w:rsidR="00205267" w:rsidRPr="00205267" w:rsidRDefault="00205267" w:rsidP="00205267">
      <w:pPr>
        <w:numPr>
          <w:ilvl w:val="0"/>
          <w:numId w:val="6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прочность лесов должна быть проверена расчетом;</w:t>
      </w:r>
    </w:p>
    <w:p w:rsidR="00205267" w:rsidRPr="00205267" w:rsidRDefault="00205267" w:rsidP="00205267">
      <w:pPr>
        <w:numPr>
          <w:ilvl w:val="0"/>
          <w:numId w:val="6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составить акт о проведении испытаний.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6. При подаче материалов на леса башенным краном непосредственно к рабочим местам необходимо соблюдать следующие правила:</w:t>
      </w:r>
    </w:p>
    <w:p w:rsidR="00205267" w:rsidRPr="00205267" w:rsidRDefault="00205267" w:rsidP="00205267">
      <w:pPr>
        <w:numPr>
          <w:ilvl w:val="0"/>
          <w:numId w:val="7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во избежание ударов грузом по лесам необходимо сначала производить подъем груза и передвижение крана, а затем поворот стрелы и плавное опускание груза;</w:t>
      </w:r>
    </w:p>
    <w:p w:rsidR="00205267" w:rsidRPr="00205267" w:rsidRDefault="00205267" w:rsidP="00205267">
      <w:pPr>
        <w:numPr>
          <w:ilvl w:val="0"/>
          <w:numId w:val="7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лесах должен находится сигнальщик, регулирующий подачу грузов подачей сигналов крановщику.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7. При подаче материалов на леса стационарным подъемником, каркас его должен крепиться к стене независимо от лесов.</w:t>
      </w:r>
    </w:p>
    <w:p w:rsidR="00205267" w:rsidRDefault="00205267"/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Монтаж и демонтаж лесов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1. Монтаж и демонтаж лесов должен производиться под руководством ответственного производителя работ, который должен:</w:t>
      </w:r>
    </w:p>
    <w:p w:rsidR="00205267" w:rsidRPr="00205267" w:rsidRDefault="00205267" w:rsidP="00205267">
      <w:pPr>
        <w:numPr>
          <w:ilvl w:val="0"/>
          <w:numId w:val="1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изучить конструкцию лесов;</w:t>
      </w:r>
    </w:p>
    <w:p w:rsidR="00205267" w:rsidRPr="00205267" w:rsidRDefault="00205267" w:rsidP="00205267">
      <w:pPr>
        <w:numPr>
          <w:ilvl w:val="0"/>
          <w:numId w:val="1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составить схему установки лесов для конкретного объекта;</w:t>
      </w:r>
    </w:p>
    <w:p w:rsidR="00205267" w:rsidRPr="00205267" w:rsidRDefault="00205267" w:rsidP="00205267">
      <w:pPr>
        <w:numPr>
          <w:ilvl w:val="0"/>
          <w:numId w:val="1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составить перечень потребных элементов;</w:t>
      </w:r>
    </w:p>
    <w:p w:rsidR="00205267" w:rsidRPr="00205267" w:rsidRDefault="00205267" w:rsidP="00205267">
      <w:pPr>
        <w:numPr>
          <w:ilvl w:val="0"/>
          <w:numId w:val="1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произвести согласно перечню приемку комплекта лесов со склада с отбраковкой поврежденных элементов.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2. Рабочие, монтирующие леса, предварительно должны быть ознакомлены с конструкцией и проинструктированы о порядке монтажа и способах крепления лесов к стене.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3. Леса должны монтироваться на спланированной и утрамбованной площадке, с которой должен быть предусмотрен отвод воды. Площадка под леса должна быть горизонтальной в продольном и поперечном направлениях.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4. Монтаж лесов следует производить, начиная от угла здания, соблюдая при этом последовательность установки отдельных элементов (см. приложение).</w:t>
      </w:r>
    </w:p>
    <w:p w:rsid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I Этап</w:t>
      </w:r>
    </w:p>
    <w:p w:rsidR="00205267" w:rsidRP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1000" cy="2047875"/>
            <wp:effectExtent l="0" t="0" r="0" b="9525"/>
            <wp:docPr id="10" name="Рисунок 10" descr="http://old2.balatongroup.ru/images/dokument_9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ld2.balatongroup.ru/images/dokument_92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подготовленной площадке установить деревянные подкладки и башмаки.</w:t>
      </w:r>
    </w:p>
    <w:p w:rsid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II Этап</w:t>
      </w:r>
    </w:p>
    <w:p w:rsidR="00205267" w:rsidRP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1000" cy="1485900"/>
            <wp:effectExtent l="0" t="0" r="0" b="0"/>
            <wp:docPr id="11" name="Рисунок 11" descr="http://old2.balatongroup.ru/images/dokument_9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old2.balatongroup.ru/images/dokument_91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башмаки вставить попарно чередующиеся стойки (длинные — короткие, длинные — короткие) и закрепить их ригелями Л-6 и Л-9 первого яруса.</w:t>
      </w:r>
    </w:p>
    <w:p w:rsid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III Этап</w:t>
      </w:r>
    </w:p>
    <w:p w:rsidR="00205267" w:rsidRP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1000" cy="1971675"/>
            <wp:effectExtent l="0" t="0" r="0" b="9525"/>
            <wp:docPr id="12" name="Рисунок 12" descr="http://old2.balatongroup.ru/images/dokument_9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old2.balatongroup.ru/images/dokument_90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На высоте 2 м нарастить длинные стойки и закрепить их ригелями Л-6 и Л-9 и диагональными связями Л-5 второго яруса. На продольные ригеля уложить щиты настила и установить бортовые доски. Установить лестницу.</w:t>
      </w:r>
    </w:p>
    <w:p w:rsidR="00205267" w:rsidRPr="00205267" w:rsidRDefault="00205267" w:rsidP="00205267">
      <w:pPr>
        <w:shd w:val="clear" w:color="auto" w:fill="FFFFFF"/>
        <w:spacing w:after="240" w:line="300" w:lineRule="atLeast"/>
        <w:textAlignment w:val="baseline"/>
        <w:outlineLvl w:val="2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555555"/>
          <w:sz w:val="30"/>
          <w:szCs w:val="30"/>
          <w:lang w:eastAsia="ru-RU"/>
        </w:rPr>
        <w:t>I</w:t>
      </w:r>
      <w:r>
        <w:rPr>
          <w:rFonts w:ascii="Arial" w:eastAsia="Times New Roman" w:hAnsi="Arial" w:cs="Arial"/>
          <w:color w:val="555555"/>
          <w:sz w:val="30"/>
          <w:szCs w:val="30"/>
          <w:lang w:val="en-US" w:eastAsia="ru-RU"/>
        </w:rPr>
        <w:t>V</w:t>
      </w:r>
      <w:r w:rsidRPr="00205267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 Этап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191000" cy="2371725"/>
            <wp:effectExtent l="0" t="0" r="0" b="9525"/>
            <wp:docPr id="13" name="Рисунок 13" descr="http://old2.balatongroup.ru/images/dokument_8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ld2.balatongroup.ru/images/dokument_89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Такой порядок монтажа повторить до необходимой высоты лесов.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двух крайних пролетах установить диагональные связи Л-5. В случае, если длина собираемых лесов превышает 50 м, диагональные связи Л-5 устанавливаются через 25 — 30 м в двух смежных пролетах.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Стойки лесов через крюки одинарные Л-14 и крюки двойные Л-13 при помощи анкеров Л-15 закрепляются к стене здания.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Крюки двойные Л-13 устанавливаются в местах стыков стоек и диагональных связей Л-5. Крюки одинарные устанавливаются в местах стыков стоек (см. приложение).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5. Стойки лесов Л-1 и Л-2 устанавливать по отвесу. Установку диагональных связей и закрепление лесов к стене производить одновременно с монтажом лесов.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При установке лесов для каменной кладки наращивание их производится постепенно по мере возведения кладки стен здания.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6. Укладку настилов и установку перил производить одновременно.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лесах для отделочных работ допускается укладывать щиты настила в шести ярусах, а для каменных только на двух верхних ярусах.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7. Лестничные секции должны монтироваться одновременно с лесами.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8. Демонтаж лесов допускается лишь после уборки с настилов остатков материалов, инвентаря и инструментов.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9. До начала демонтажа лесов производитель работ обязан осмотреть их и проинструктировать рабочих о последовательности и приемах разборки, а также о мерах, обеспечивающих безопасность работ.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10. Демонтаж лесов следует начинать с верхнего яруса в последовательности, обратной последовательности монтажа.</w:t>
      </w:r>
    </w:p>
    <w:p w:rsid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11. Демонтированные элементы перед перевозкой рассортировать. Крупногабаритные элементы связывать в пакеты.</w:t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Схема установки лесов Э-507, комплект 400 м2 (20х20)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3295650"/>
            <wp:effectExtent l="0" t="0" r="0" b="0"/>
            <wp:docPr id="17" name="Рисунок 17" descr="http://old2.balatongroup.ru/images/dokument_8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old2.balatongroup.ru/images/dokument_88_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55555"/>
          <w:sz w:val="20"/>
          <w:szCs w:val="20"/>
        </w:rPr>
        <w:br/>
        <w:t xml:space="preserve">Условные </w:t>
      </w:r>
      <w:proofErr w:type="gramStart"/>
      <w:r>
        <w:rPr>
          <w:rFonts w:ascii="Arial" w:hAnsi="Arial" w:cs="Arial"/>
          <w:color w:val="555555"/>
          <w:sz w:val="20"/>
          <w:szCs w:val="20"/>
        </w:rPr>
        <w:t>обозначения:</w:t>
      </w:r>
      <w:r>
        <w:rPr>
          <w:rFonts w:ascii="Arial" w:hAnsi="Arial" w:cs="Arial"/>
          <w:color w:val="555555"/>
          <w:sz w:val="20"/>
          <w:szCs w:val="20"/>
        </w:rPr>
        <w:br/>
        <w:t>—</w:t>
      </w:r>
      <w:proofErr w:type="gramEnd"/>
      <w:r>
        <w:rPr>
          <w:rFonts w:ascii="Arial" w:hAnsi="Arial" w:cs="Arial"/>
          <w:color w:val="555555"/>
          <w:sz w:val="20"/>
          <w:szCs w:val="20"/>
        </w:rPr>
        <w:t xml:space="preserve"> — деревянные подкладки;</w:t>
      </w:r>
      <w:r>
        <w:rPr>
          <w:rFonts w:ascii="Arial" w:hAnsi="Arial" w:cs="Arial"/>
          <w:color w:val="555555"/>
          <w:sz w:val="20"/>
          <w:szCs w:val="20"/>
        </w:rPr>
        <w:br/>
        <w:t>х — стыки стоек</w:t>
      </w:r>
      <w:r>
        <w:rPr>
          <w:rFonts w:ascii="Arial" w:hAnsi="Arial" w:cs="Arial"/>
          <w:color w:val="555555"/>
          <w:sz w:val="20"/>
          <w:szCs w:val="20"/>
        </w:rPr>
        <w:br/>
        <w:t>1. Стойка Л-1 4м;</w:t>
      </w:r>
      <w:r>
        <w:rPr>
          <w:rFonts w:ascii="Arial" w:hAnsi="Arial" w:cs="Arial"/>
          <w:color w:val="555555"/>
          <w:sz w:val="20"/>
          <w:szCs w:val="20"/>
        </w:rPr>
        <w:br/>
        <w:t>2. Стойка Л-2 2м;</w:t>
      </w:r>
      <w:r>
        <w:rPr>
          <w:rFonts w:ascii="Arial" w:hAnsi="Arial" w:cs="Arial"/>
          <w:color w:val="555555"/>
          <w:sz w:val="20"/>
          <w:szCs w:val="20"/>
        </w:rPr>
        <w:br/>
        <w:t>3. Ригель Л-6 2м;</w:t>
      </w:r>
      <w:r>
        <w:rPr>
          <w:rFonts w:ascii="Arial" w:hAnsi="Arial" w:cs="Arial"/>
          <w:color w:val="555555"/>
          <w:sz w:val="20"/>
          <w:szCs w:val="20"/>
        </w:rPr>
        <w:br/>
        <w:t>4. Ригель Л-6 1,5м;</w:t>
      </w:r>
      <w:r>
        <w:rPr>
          <w:rFonts w:ascii="Arial" w:hAnsi="Arial" w:cs="Arial"/>
          <w:color w:val="555555"/>
          <w:sz w:val="20"/>
          <w:szCs w:val="20"/>
        </w:rPr>
        <w:br/>
        <w:t>5. Связь Л-5 2,4м;</w:t>
      </w:r>
      <w:r>
        <w:rPr>
          <w:rFonts w:ascii="Arial" w:hAnsi="Arial" w:cs="Arial"/>
          <w:color w:val="555555"/>
          <w:sz w:val="20"/>
          <w:szCs w:val="20"/>
        </w:rPr>
        <w:br/>
        <w:t>6. Башмак Л-4;</w:t>
      </w:r>
      <w:r>
        <w:rPr>
          <w:rFonts w:ascii="Arial" w:hAnsi="Arial" w:cs="Arial"/>
          <w:color w:val="555555"/>
          <w:sz w:val="20"/>
          <w:szCs w:val="20"/>
        </w:rPr>
        <w:br/>
        <w:t>7. Крюк двойной Л-13.</w:t>
      </w:r>
      <w:r>
        <w:rPr>
          <w:rFonts w:ascii="Arial" w:hAnsi="Arial" w:cs="Arial"/>
          <w:color w:val="555555"/>
          <w:sz w:val="20"/>
          <w:szCs w:val="20"/>
        </w:rPr>
        <w:br/>
        <w:t>Крюки Л-14 ставятся в местах стыков стоек.</w:t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Нагрузки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color w:val="555555"/>
          <w:sz w:val="20"/>
          <w:szCs w:val="20"/>
        </w:rPr>
        <w:t xml:space="preserve">Расчетные </w:t>
      </w:r>
      <w:proofErr w:type="gramStart"/>
      <w:r>
        <w:rPr>
          <w:rFonts w:ascii="Arial" w:hAnsi="Arial" w:cs="Arial"/>
          <w:color w:val="555555"/>
          <w:sz w:val="20"/>
          <w:szCs w:val="20"/>
        </w:rPr>
        <w:t>нагрузки:</w:t>
      </w:r>
      <w:r>
        <w:rPr>
          <w:rFonts w:ascii="Arial" w:hAnsi="Arial" w:cs="Arial"/>
          <w:color w:val="555555"/>
          <w:sz w:val="20"/>
          <w:szCs w:val="20"/>
        </w:rPr>
        <w:br/>
        <w:t>Р</w:t>
      </w:r>
      <w:proofErr w:type="gramEnd"/>
      <w:r>
        <w:rPr>
          <w:rFonts w:ascii="Arial" w:hAnsi="Arial" w:cs="Arial"/>
          <w:color w:val="555555"/>
          <w:sz w:val="20"/>
          <w:szCs w:val="20"/>
        </w:rPr>
        <w:t>1= 750 кг — Вес пакета красного кирпича</w:t>
      </w:r>
      <w:r>
        <w:rPr>
          <w:rFonts w:ascii="Arial" w:hAnsi="Arial" w:cs="Arial"/>
          <w:color w:val="555555"/>
          <w:sz w:val="20"/>
          <w:szCs w:val="20"/>
        </w:rPr>
        <w:br/>
        <w:t>Р2= 1100 кг — Вес пакета силикатного кирпича</w:t>
      </w:r>
      <w:r>
        <w:rPr>
          <w:rFonts w:ascii="Arial" w:hAnsi="Arial" w:cs="Arial"/>
          <w:color w:val="555555"/>
          <w:sz w:val="20"/>
          <w:szCs w:val="20"/>
        </w:rPr>
        <w:br/>
        <w:t>Р3= 200 кг — Вес ящика с раствором</w:t>
      </w:r>
      <w:r>
        <w:rPr>
          <w:rFonts w:ascii="Arial" w:hAnsi="Arial" w:cs="Arial"/>
          <w:color w:val="555555"/>
          <w:sz w:val="20"/>
          <w:szCs w:val="20"/>
        </w:rPr>
        <w:br/>
        <w:t>Р5= 100 кг — Вес рабочего с инструментом</w:t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Fonts w:ascii="Arial" w:hAnsi="Arial" w:cs="Arial"/>
          <w:color w:val="555555"/>
          <w:sz w:val="20"/>
          <w:szCs w:val="20"/>
        </w:rPr>
        <w:lastRenderedPageBreak/>
        <w:t>Примечания:</w:t>
      </w:r>
      <w:r>
        <w:rPr>
          <w:rFonts w:ascii="Arial" w:hAnsi="Arial" w:cs="Arial"/>
          <w:color w:val="555555"/>
          <w:sz w:val="20"/>
          <w:szCs w:val="20"/>
        </w:rPr>
        <w:br/>
        <w:t>Нагрузки по схемам 1 и 2 относятся к лесам для каменных работ и допускаются только в одном верхнем ярусе.</w:t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Схема нагрузок 1</w:t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1752600"/>
            <wp:effectExtent l="0" t="0" r="0" b="0"/>
            <wp:docPr id="16" name="Рисунок 16" descr="http://old2.balatongroup.ru/images/dokument_8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old2.balatongroup.ru/images/dokument_87_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Схема нагрузок 2</w:t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1628775"/>
            <wp:effectExtent l="0" t="0" r="0" b="9525"/>
            <wp:docPr id="15" name="Рисунок 15" descr="http://old2.balatongroup.ru/images/dokument_8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old2.balatongroup.ru/images/dokument_86_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Схема нагрузок 3</w:t>
      </w:r>
      <w:r>
        <w:rPr>
          <w:rFonts w:ascii="Arial" w:hAnsi="Arial" w:cs="Arial"/>
          <w:color w:val="555555"/>
          <w:sz w:val="20"/>
          <w:szCs w:val="20"/>
        </w:rPr>
        <w:br/>
      </w: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1647825"/>
            <wp:effectExtent l="0" t="0" r="0" b="9525"/>
            <wp:docPr id="14" name="Рисунок 14" descr="http://old2.balatongroup.ru/images/dokument_8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old2.balatongroup.ru/images/dokument_85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Сборочные элементы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Стойки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 xml:space="preserve">— вертикальные несущие элементы каркаса лесов. Соединяются между собой по принципу «труба в трубу». Рядовые стойки Л-1 выпускаются длиной 4 м, </w:t>
      </w:r>
      <w:proofErr w:type="spellStart"/>
      <w:r>
        <w:rPr>
          <w:rFonts w:ascii="Arial" w:hAnsi="Arial" w:cs="Arial"/>
          <w:color w:val="555555"/>
          <w:sz w:val="20"/>
          <w:szCs w:val="20"/>
        </w:rPr>
        <w:t>доборные</w:t>
      </w:r>
      <w:proofErr w:type="spellEnd"/>
      <w:r>
        <w:rPr>
          <w:rFonts w:ascii="Arial" w:hAnsi="Arial" w:cs="Arial"/>
          <w:color w:val="555555"/>
          <w:sz w:val="20"/>
          <w:szCs w:val="20"/>
        </w:rPr>
        <w:t xml:space="preserve"> Л-2 — 2 м.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Ригель Л-6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горизонтальные элементы, соединяющие стойки лесов между собой вдоль фасада здания. Служат основанием для рабочих настилов, перилами ограждения рабочих ярусов и лестничных маршей. Соединяются со стойкой при помощи наваренного штыря, вставляемого в патрубок на стойке. Выпускаются длиной 1,92 м.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Ригель Л-9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горизонтальные элементы, соединяющие стойки лесов между собой перпендикулярно фасаду здания. Служат также торцевыми перилами рабочих ярусов. Соединяются со стойкой при помощи наваренного штыря, вставляемого в патрубок на стойке. Выпускаются длиной 1,52 м.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lastRenderedPageBreak/>
        <w:t>Связи Л-5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горизонтальные элементы, обеспечивающие жесткость каркаса лесов в плане. Ставятся по диагонали в горизонтальной плоскости и соединяются со стойкой при помощи наваренного штыря, вставляемого в патрубок на стойке. Выпускаются длиной 2,4 м.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Башмак Л-4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нерегулируемое по высоте основание нижнего ряда вертикальных стоек лесов.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Анкер Л-15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крепежный элемент, обеспечивающий привязку каркаса лесов к фасаду здания. Анкера рассчитаны на многоразовое применение.</w:t>
      </w:r>
    </w:p>
    <w:p w:rsidR="00205267" w:rsidRDefault="00205267" w:rsidP="00205267">
      <w:pPr>
        <w:pStyle w:val="a3"/>
        <w:shd w:val="clear" w:color="auto" w:fill="FFFFFF"/>
        <w:spacing w:before="0" w:beforeAutospacing="0" w:after="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Style w:val="a4"/>
          <w:rFonts w:ascii="Arial" w:hAnsi="Arial" w:cs="Arial"/>
          <w:color w:val="555555"/>
          <w:sz w:val="20"/>
          <w:szCs w:val="20"/>
          <w:bdr w:val="none" w:sz="0" w:space="0" w:color="auto" w:frame="1"/>
        </w:rPr>
        <w:t>Крюки Л-13, Л-14</w:t>
      </w:r>
      <w:r>
        <w:rPr>
          <w:rStyle w:val="apple-converted-space"/>
          <w:rFonts w:ascii="Arial" w:hAnsi="Arial" w:cs="Arial"/>
          <w:color w:val="555555"/>
          <w:sz w:val="20"/>
          <w:szCs w:val="20"/>
        </w:rPr>
        <w:t> </w:t>
      </w:r>
      <w:r>
        <w:rPr>
          <w:rFonts w:ascii="Arial" w:hAnsi="Arial" w:cs="Arial"/>
          <w:color w:val="555555"/>
          <w:sz w:val="20"/>
          <w:szCs w:val="20"/>
        </w:rPr>
        <w:t>— крепежные элементы, обеспечивающие крепление стоек лесов к анкерам Л-15.</w:t>
      </w:r>
    </w:p>
    <w:p w:rsidR="00205267" w:rsidRDefault="00205267"/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Устройство и принцип работы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Леса — вариант сборки для отделочных работ (см. приложение) — представляют собой конструкцию, собираемую из следующих элементов: стоек L=4,0 м, стоек L=2,0 м, ригелей L=1,5 м, ригелей L=1,9 м, связей L=2,4 м, башмаков, крюков двойных, крюков одинарных, анкеров.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Нижний ряд стоек опирается на башмаки, устанавливаемые попарно на деревянные подкладки и закрепляемые к подкладкам костылями.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С целью повышения устойчивости лесов стыки стоек должны находится в разных уровнях, в пределах первого и </w:t>
      </w:r>
      <w:proofErr w:type="spellStart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самоговерхнего</w:t>
      </w:r>
      <w:proofErr w:type="spellEnd"/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 xml:space="preserve"> яруса двухметровые и четырехметровые стойки чередуются. В промежуточных ярусах леса наращиваются только четырехметровыми стойками.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Стойки с помощью ригелей Л-6 и Л-9 соединяются между собой, образуя пространственную конструкцию. Стойки посредством крюков двойных, крюков одинарных и анкеров соединяются со стеной ремонтируемого здания.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Настил на ярусах лесов собирается из деревянных щитов, изготовленных из древесины хвойных пород. Щиты настила устанавливаются на ригеля.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В варианте сборки лесов для отделочных работ настил может собираться на шести ярусах, из которых три яруса рабочих, и могут быть загружены материалами по схеме расчетных нагрузок. Работы в пределах одной вертикали допускаются только в одном ярусе.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Подъем людей на леса осуществляется по лестницам. Верхний конец лестниц на крюках навешивается на поперечины, а нижний опирается на настил.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Жесткость лесов обеспечивается установкой диагональных связей, соединяемых со стойками. Диагональные связи устанавливаются в двух крайних пролетах.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 рабочих ярусах лесов кроме настилов устанавливаются ограждения.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Для защиты от атмосферных электрических разрядов леса оборудуются заземлением, соединенным со стойкой при помощи шины.</w:t>
      </w:r>
    </w:p>
    <w:p w:rsidR="00205267" w:rsidRPr="00205267" w:rsidRDefault="00205267" w:rsidP="00205267">
      <w:pPr>
        <w:shd w:val="clear" w:color="auto" w:fill="FFFFFF"/>
        <w:spacing w:after="300" w:line="300" w:lineRule="atLeast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Леса — вариант сборки для каменных работ — собираются из элементов лесов для отделочных работ. Различие заключается в том, что:</w:t>
      </w:r>
    </w:p>
    <w:p w:rsidR="00205267" w:rsidRPr="00205267" w:rsidRDefault="00205267" w:rsidP="00205267">
      <w:pPr>
        <w:numPr>
          <w:ilvl w:val="0"/>
          <w:numId w:val="8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lastRenderedPageBreak/>
        <w:t>крепление лесов для каменных работ к стене осуществляется закладными, закладываемыми в стену в процессе кладки;</w:t>
      </w:r>
    </w:p>
    <w:p w:rsidR="00205267" w:rsidRPr="00205267" w:rsidRDefault="00205267" w:rsidP="00205267">
      <w:pPr>
        <w:numPr>
          <w:ilvl w:val="0"/>
          <w:numId w:val="8"/>
        </w:numPr>
        <w:shd w:val="clear" w:color="auto" w:fill="FFFFFF"/>
        <w:spacing w:after="0" w:line="300" w:lineRule="atLeast"/>
        <w:ind w:left="0" w:right="300"/>
        <w:textAlignment w:val="baseline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20526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настил может собираться только на двух ярусах — верхний рабочий и нижний защитный; расстояние между этими настилами по высоте должно быть не более 6 м.</w:t>
      </w:r>
    </w:p>
    <w:p w:rsidR="00205267" w:rsidRDefault="00205267"/>
    <w:p w:rsidR="00205267" w:rsidRPr="00205267" w:rsidRDefault="00205267">
      <w:pPr>
        <w:rPr>
          <w:sz w:val="36"/>
          <w:szCs w:val="36"/>
        </w:rPr>
      </w:pPr>
      <w:r w:rsidRPr="00205267">
        <w:rPr>
          <w:sz w:val="36"/>
          <w:szCs w:val="36"/>
        </w:rPr>
        <w:t>Элементы лесов</w:t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Стойка Л-1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1009650"/>
            <wp:effectExtent l="0" t="0" r="0" b="0"/>
            <wp:docPr id="9" name="Рисунок 9" descr="http://old2.balatongroup.ru/images/dokument_10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ld2.balatongroup.ru/images/dokument_101_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Стойка Л-2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2857500" cy="990600"/>
            <wp:effectExtent l="0" t="0" r="0" b="0"/>
            <wp:docPr id="8" name="Рисунок 8" descr="http://old2.balatongroup.ru/images/dokument_10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ld2.balatongroup.ru/images/dokument_100_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Связь диагональная Л-5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962025"/>
            <wp:effectExtent l="0" t="0" r="0" b="9525"/>
            <wp:docPr id="7" name="Рисунок 7" descr="http://old2.balatongroup.ru/images/dokument_99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ld2.balatongroup.ru/images/dokument_99_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Ригель Л-6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981075"/>
            <wp:effectExtent l="0" t="0" r="0" b="9525"/>
            <wp:docPr id="6" name="Рисунок 6" descr="http://old2.balatongroup.ru/images/dokument_9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ld2.balatongroup.ru/images/dokument_98_1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Ригель Л-9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4191000" cy="1000125"/>
            <wp:effectExtent l="0" t="0" r="0" b="9525"/>
            <wp:docPr id="5" name="Рисунок 5" descr="http://old2.balatongroup.ru/images/dokument_97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ld2.balatongroup.ru/images/dokument_97_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lastRenderedPageBreak/>
        <w:t>Крюк двойной Л-13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2857500" cy="1924050"/>
            <wp:effectExtent l="0" t="0" r="0" b="0"/>
            <wp:docPr id="4" name="Рисунок 4" descr="http://old2.balatongroup.ru/images/dokument_9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old2.balatongroup.ru/images/dokument_96_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Крюк Л-14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2857500" cy="1419225"/>
            <wp:effectExtent l="0" t="0" r="0" b="9525"/>
            <wp:docPr id="3" name="Рисунок 3" descr="http://old2.balatongroup.ru/images/dokument_9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ld2.balatongroup.ru/images/dokument_95_1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Анкер Л-15 для отделочных работ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2857500" cy="1200150"/>
            <wp:effectExtent l="0" t="0" r="0" b="0"/>
            <wp:docPr id="2" name="Рисунок 2" descr="http://old2.balatongroup.ru/images/dokument_9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old2.balatongroup.ru/images/dokument_94_1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 w:rsidP="00205267">
      <w:pPr>
        <w:pStyle w:val="3"/>
        <w:shd w:val="clear" w:color="auto" w:fill="FFFFFF"/>
        <w:spacing w:before="0" w:beforeAutospacing="0" w:after="240" w:afterAutospacing="0" w:line="300" w:lineRule="atLeast"/>
        <w:textAlignment w:val="baseline"/>
        <w:rPr>
          <w:rFonts w:ascii="Arial" w:hAnsi="Arial" w:cs="Arial"/>
          <w:b w:val="0"/>
          <w:bCs w:val="0"/>
          <w:color w:val="555555"/>
          <w:sz w:val="30"/>
          <w:szCs w:val="30"/>
        </w:rPr>
      </w:pPr>
      <w:r>
        <w:rPr>
          <w:rFonts w:ascii="Arial" w:hAnsi="Arial" w:cs="Arial"/>
          <w:b w:val="0"/>
          <w:bCs w:val="0"/>
          <w:color w:val="555555"/>
          <w:sz w:val="30"/>
          <w:szCs w:val="30"/>
        </w:rPr>
        <w:t>Башмак Л-4</w:t>
      </w:r>
    </w:p>
    <w:p w:rsidR="00205267" w:rsidRDefault="00205267" w:rsidP="00205267">
      <w:pPr>
        <w:pStyle w:val="a3"/>
        <w:shd w:val="clear" w:color="auto" w:fill="FFFFFF"/>
        <w:spacing w:before="0" w:beforeAutospacing="0" w:after="300" w:afterAutospacing="0" w:line="300" w:lineRule="atLeast"/>
        <w:textAlignment w:val="baseline"/>
        <w:rPr>
          <w:rFonts w:ascii="Arial" w:hAnsi="Arial" w:cs="Arial"/>
          <w:color w:val="555555"/>
          <w:sz w:val="20"/>
          <w:szCs w:val="20"/>
        </w:rPr>
      </w:pPr>
      <w:r>
        <w:rPr>
          <w:rFonts w:ascii="Arial" w:hAnsi="Arial" w:cs="Arial"/>
          <w:noProof/>
          <w:color w:val="555555"/>
          <w:sz w:val="20"/>
          <w:szCs w:val="20"/>
        </w:rPr>
        <w:drawing>
          <wp:inline distT="0" distB="0" distL="0" distR="0">
            <wp:extent cx="1428750" cy="1990725"/>
            <wp:effectExtent l="0" t="0" r="0" b="9525"/>
            <wp:docPr id="1" name="Рисунок 1" descr="http://old2.balatongroup.ru/images/dokument_9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old2.balatongroup.ru/images/dokument_93_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67" w:rsidRDefault="00205267"/>
    <w:sectPr w:rsidR="00205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F37D4"/>
    <w:multiLevelType w:val="multilevel"/>
    <w:tmpl w:val="1D6AD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1F5413"/>
    <w:multiLevelType w:val="multilevel"/>
    <w:tmpl w:val="4AFE5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E20BF"/>
    <w:multiLevelType w:val="multilevel"/>
    <w:tmpl w:val="0C2E8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714D57"/>
    <w:multiLevelType w:val="multilevel"/>
    <w:tmpl w:val="6AD04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C4EBA"/>
    <w:multiLevelType w:val="multilevel"/>
    <w:tmpl w:val="D386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BD4449"/>
    <w:multiLevelType w:val="multilevel"/>
    <w:tmpl w:val="CDAE1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D1C6F58"/>
    <w:multiLevelType w:val="multilevel"/>
    <w:tmpl w:val="ABBA8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0713FA4"/>
    <w:multiLevelType w:val="multilevel"/>
    <w:tmpl w:val="57CA3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084"/>
    <w:rsid w:val="00205267"/>
    <w:rsid w:val="00795084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A425FB-A23C-47CE-871B-AE51E1FE3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52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052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05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5267"/>
    <w:rPr>
      <w:b/>
      <w:bCs/>
    </w:rPr>
  </w:style>
  <w:style w:type="character" w:customStyle="1" w:styleId="apple-converted-space">
    <w:name w:val="apple-converted-space"/>
    <w:basedOn w:val="a0"/>
    <w:rsid w:val="00205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64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4.gif"/><Relationship Id="rId13" Type="http://schemas.openxmlformats.org/officeDocument/2006/relationships/image" Target="media/image9.gif"/><Relationship Id="rId18" Type="http://schemas.openxmlformats.org/officeDocument/2006/relationships/image" Target="media/image14.gif"/><Relationship Id="rId3" Type="http://schemas.openxmlformats.org/officeDocument/2006/relationships/settings" Target="settings.xml"/><Relationship Id="rId21" Type="http://schemas.openxmlformats.org/officeDocument/2006/relationships/image" Target="media/image17.gif"/><Relationship Id="rId7" Type="http://schemas.openxmlformats.org/officeDocument/2006/relationships/image" Target="media/image3.gif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openxmlformats.org/officeDocument/2006/relationships/styles" Target="styles.xml"/><Relationship Id="rId16" Type="http://schemas.openxmlformats.org/officeDocument/2006/relationships/image" Target="media/image12.gif"/><Relationship Id="rId20" Type="http://schemas.openxmlformats.org/officeDocument/2006/relationships/image" Target="media/image16.gif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11" Type="http://schemas.openxmlformats.org/officeDocument/2006/relationships/image" Target="media/image7.gif"/><Relationship Id="rId5" Type="http://schemas.openxmlformats.org/officeDocument/2006/relationships/image" Target="media/image1.gif"/><Relationship Id="rId15" Type="http://schemas.openxmlformats.org/officeDocument/2006/relationships/image" Target="media/image11.gif"/><Relationship Id="rId23" Type="http://schemas.openxmlformats.org/officeDocument/2006/relationships/theme" Target="theme/theme1.xml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1669</Words>
  <Characters>9515</Characters>
  <Application>Microsoft Office Word</Application>
  <DocSecurity>0</DocSecurity>
  <Lines>79</Lines>
  <Paragraphs>22</Paragraphs>
  <ScaleCrop>false</ScaleCrop>
  <Company>Grizli777</Company>
  <LinksUpToDate>false</LinksUpToDate>
  <CharactersWithSpaces>11162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2015-05-22T11:52:00Z</dcterms:created>
  <dcterms:modified xsi:type="dcterms:W3CDTF">2015-05-22T11:57:00Z</dcterms:modified>
</cp:coreProperties>
</file>